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336906" w:rsidRP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AE20A2" w:rsidRPr="00336906" w:rsidRDefault="00F15E28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  <w:r w:rsidRPr="00336906">
        <w:rPr>
          <w:b/>
          <w:bCs/>
          <w:spacing w:val="-5"/>
          <w:sz w:val="36"/>
          <w:szCs w:val="36"/>
        </w:rPr>
        <w:t xml:space="preserve">Положение </w:t>
      </w:r>
    </w:p>
    <w:p w:rsidR="00F15E28" w:rsidRPr="00336906" w:rsidRDefault="00F15E28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  <w:r w:rsidRPr="00336906">
        <w:rPr>
          <w:b/>
          <w:bCs/>
          <w:spacing w:val="-5"/>
          <w:sz w:val="36"/>
          <w:szCs w:val="36"/>
        </w:rPr>
        <w:t>О формах, периодичности, порядке текущего контроля успеваемости и п</w:t>
      </w:r>
      <w:r w:rsidR="00336906" w:rsidRPr="00336906">
        <w:rPr>
          <w:b/>
          <w:bCs/>
          <w:spacing w:val="-5"/>
          <w:sz w:val="36"/>
          <w:szCs w:val="36"/>
        </w:rPr>
        <w:t>ромежуточной аттестации воспитанников</w:t>
      </w:r>
    </w:p>
    <w:p w:rsidR="00336906" w:rsidRP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  <w:r w:rsidRPr="00336906">
        <w:rPr>
          <w:b/>
          <w:bCs/>
          <w:spacing w:val="-5"/>
          <w:sz w:val="36"/>
          <w:szCs w:val="36"/>
        </w:rPr>
        <w:t>Муниципального казенного дошкольного образовательного учреждения</w:t>
      </w:r>
    </w:p>
    <w:p w:rsidR="00336906" w:rsidRP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  <w:r w:rsidRPr="00336906">
        <w:rPr>
          <w:b/>
          <w:bCs/>
          <w:spacing w:val="-5"/>
          <w:sz w:val="36"/>
          <w:szCs w:val="36"/>
        </w:rPr>
        <w:t xml:space="preserve">«Детский сад №21» с.Шулани </w:t>
      </w:r>
    </w:p>
    <w:p w:rsidR="00F15E28" w:rsidRPr="00336906" w:rsidRDefault="00F15E28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F15E28" w:rsidRPr="00336906" w:rsidRDefault="00F15E28" w:rsidP="007B10AF">
      <w:pPr>
        <w:shd w:val="clear" w:color="auto" w:fill="FFFFFF"/>
        <w:ind w:firstLine="426"/>
        <w:jc w:val="center"/>
        <w:rPr>
          <w:b/>
          <w:bCs/>
          <w:spacing w:val="-5"/>
          <w:sz w:val="36"/>
          <w:szCs w:val="36"/>
        </w:rPr>
      </w:pPr>
    </w:p>
    <w:p w:rsidR="00F15E28" w:rsidRDefault="00F15E28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F15E28" w:rsidRDefault="00F15E28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F15E28" w:rsidRDefault="00F15E28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36906" w:rsidRDefault="0033690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F15E28" w:rsidRDefault="00F15E28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  <w:bookmarkStart w:id="0" w:name="_GoBack"/>
      <w:bookmarkEnd w:id="0"/>
    </w:p>
    <w:p w:rsidR="00F15E28" w:rsidRDefault="00F15E28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</w:t>
      </w:r>
      <w:r w:rsidR="00F15E28">
        <w:rPr>
          <w:rFonts w:eastAsia="Calibri"/>
          <w:sz w:val="28"/>
          <w:szCs w:val="28"/>
          <w:lang w:eastAsia="en-US"/>
        </w:rPr>
        <w:t xml:space="preserve">льного учреждения «Детский сад </w:t>
      </w:r>
      <w:r w:rsidRPr="007B10AF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="00F15E28">
        <w:rPr>
          <w:rFonts w:eastAsia="Calibri"/>
          <w:sz w:val="28"/>
          <w:szCs w:val="28"/>
          <w:lang w:eastAsia="en-US"/>
        </w:rPr>
        <w:t>1» с</w:t>
      </w:r>
      <w:r w:rsidRPr="007B10A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15E28">
        <w:rPr>
          <w:rFonts w:eastAsia="Calibri"/>
          <w:sz w:val="28"/>
          <w:szCs w:val="28"/>
          <w:lang w:eastAsia="en-US"/>
        </w:rPr>
        <w:t xml:space="preserve">Шулани Гунибского </w:t>
      </w:r>
      <w:r w:rsidRPr="007B10AF">
        <w:rPr>
          <w:rFonts w:eastAsia="Calibri"/>
          <w:sz w:val="28"/>
          <w:szCs w:val="28"/>
          <w:lang w:eastAsia="en-US"/>
        </w:rPr>
        <w:t xml:space="preserve">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Педагогическом совете муниципального бюджетного дошкольного образовательного учреждения «Де</w:t>
      </w:r>
      <w:r w:rsidR="00F15E28">
        <w:rPr>
          <w:rFonts w:eastAsia="Calibri"/>
          <w:sz w:val="28"/>
          <w:szCs w:val="28"/>
          <w:lang w:eastAsia="en-US"/>
        </w:rPr>
        <w:t>тский сад №21»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r w:rsidR="00F15E28">
        <w:rPr>
          <w:rFonts w:eastAsia="Calibri"/>
          <w:sz w:val="28"/>
          <w:szCs w:val="28"/>
          <w:lang w:eastAsia="en-US"/>
        </w:rPr>
        <w:t>с</w:t>
      </w:r>
      <w:r w:rsidR="00F15E28" w:rsidRPr="007B10AF">
        <w:rPr>
          <w:rFonts w:eastAsia="Calibri"/>
          <w:sz w:val="28"/>
          <w:szCs w:val="28"/>
          <w:lang w:eastAsia="en-US"/>
        </w:rPr>
        <w:t>.</w:t>
      </w:r>
      <w:r w:rsidR="00F15E28">
        <w:rPr>
          <w:rFonts w:eastAsia="Calibri"/>
          <w:sz w:val="28"/>
          <w:szCs w:val="28"/>
          <w:lang w:eastAsia="en-US"/>
        </w:rPr>
        <w:t xml:space="preserve"> Шулани Гунибского </w:t>
      </w:r>
      <w:r w:rsidR="00F15E28" w:rsidRPr="007B10AF">
        <w:rPr>
          <w:rFonts w:eastAsia="Calibri"/>
          <w:sz w:val="28"/>
          <w:szCs w:val="28"/>
          <w:lang w:eastAsia="en-US"/>
        </w:rPr>
        <w:t xml:space="preserve">района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F15E28">
        <w:rPr>
          <w:rFonts w:eastAsia="Calibri"/>
          <w:sz w:val="28"/>
          <w:szCs w:val="28"/>
          <w:lang w:eastAsia="en-US"/>
        </w:rPr>
        <w:t xml:space="preserve">рамму дошкольного образования МКДОУ «Детский сад №21» </w:t>
      </w:r>
      <w:r w:rsidR="00F15E28">
        <w:rPr>
          <w:rFonts w:eastAsia="Calibri"/>
          <w:sz w:val="28"/>
          <w:szCs w:val="28"/>
          <w:lang w:eastAsia="en-US"/>
        </w:rPr>
        <w:t>с</w:t>
      </w:r>
      <w:r w:rsidR="00F15E28" w:rsidRPr="007B10AF">
        <w:rPr>
          <w:rFonts w:eastAsia="Calibri"/>
          <w:sz w:val="28"/>
          <w:szCs w:val="28"/>
          <w:lang w:eastAsia="en-US"/>
        </w:rPr>
        <w:t>.</w:t>
      </w:r>
      <w:r w:rsidR="00F15E28">
        <w:rPr>
          <w:rFonts w:eastAsia="Calibri"/>
          <w:sz w:val="28"/>
          <w:szCs w:val="28"/>
          <w:lang w:eastAsia="en-US"/>
        </w:rPr>
        <w:t xml:space="preserve"> Шулани Гунибского </w:t>
      </w:r>
      <w:r w:rsidR="00F15E28" w:rsidRPr="007B10AF">
        <w:rPr>
          <w:rFonts w:eastAsia="Calibri"/>
          <w:sz w:val="28"/>
          <w:szCs w:val="28"/>
          <w:lang w:eastAsia="en-US"/>
        </w:rPr>
        <w:t>района</w:t>
      </w:r>
      <w:r w:rsidRPr="007B10AF">
        <w:rPr>
          <w:rFonts w:eastAsia="Calibri"/>
          <w:sz w:val="28"/>
          <w:szCs w:val="28"/>
          <w:lang w:eastAsia="en-US"/>
        </w:rPr>
        <w:t>,</w:t>
      </w:r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Формы получения образования и формы обучения по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Промежуточная аттестация усвоения образовательной программы дошкольного образования в ДОУ</w:t>
      </w:r>
      <w:r w:rsidR="00F15E28" w:rsidRPr="00F15E28">
        <w:rPr>
          <w:rFonts w:eastAsia="Calibri"/>
          <w:sz w:val="28"/>
          <w:szCs w:val="28"/>
          <w:lang w:eastAsia="en-US"/>
        </w:rPr>
        <w:t xml:space="preserve"> </w:t>
      </w:r>
      <w:r w:rsidR="00F15E28">
        <w:rPr>
          <w:rFonts w:eastAsia="Calibri"/>
          <w:sz w:val="28"/>
          <w:szCs w:val="28"/>
          <w:lang w:eastAsia="en-US"/>
        </w:rPr>
        <w:t>МКДОУ «Детский сад №21» с</w:t>
      </w:r>
      <w:r w:rsidR="00F15E28" w:rsidRPr="007B10AF">
        <w:rPr>
          <w:rFonts w:eastAsia="Calibri"/>
          <w:sz w:val="28"/>
          <w:szCs w:val="28"/>
          <w:lang w:eastAsia="en-US"/>
        </w:rPr>
        <w:t>.</w:t>
      </w:r>
      <w:r w:rsidR="00F15E28">
        <w:rPr>
          <w:rFonts w:eastAsia="Calibri"/>
          <w:sz w:val="28"/>
          <w:szCs w:val="28"/>
          <w:lang w:eastAsia="en-US"/>
        </w:rPr>
        <w:t xml:space="preserve"> Шулани Гунибского </w:t>
      </w:r>
      <w:r w:rsidR="00F15E28" w:rsidRPr="007B10AF">
        <w:rPr>
          <w:rFonts w:eastAsia="Calibri"/>
          <w:sz w:val="28"/>
          <w:szCs w:val="28"/>
          <w:lang w:eastAsia="en-US"/>
        </w:rPr>
        <w:t>района,</w:t>
      </w:r>
      <w:r w:rsidRPr="007B10AF">
        <w:rPr>
          <w:rFonts w:eastAsia="Calibri"/>
          <w:sz w:val="28"/>
          <w:szCs w:val="28"/>
          <w:lang w:eastAsia="en-US"/>
        </w:rPr>
        <w:t xml:space="preserve">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Программы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F15E28" w:rsidRDefault="007B10AF" w:rsidP="00F15E2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</w:t>
      </w:r>
      <w:r w:rsidR="00F15E28">
        <w:rPr>
          <w:rFonts w:eastAsia="Calibri"/>
          <w:sz w:val="28"/>
          <w:szCs w:val="28"/>
          <w:lang w:eastAsia="en-US"/>
        </w:rPr>
        <w:t xml:space="preserve">едующий и </w:t>
      </w:r>
      <w:r w:rsidRPr="007B10AF">
        <w:rPr>
          <w:rFonts w:eastAsia="Calibri"/>
          <w:sz w:val="28"/>
          <w:szCs w:val="28"/>
          <w:lang w:eastAsia="en-US"/>
        </w:rPr>
        <w:t>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Педагогические работники не позднее 7 дней с момента завершения педагогической диагностики сдают результаты проведенных педагогических наблюдений </w:t>
      </w:r>
      <w:r w:rsidR="00F15E28">
        <w:rPr>
          <w:rFonts w:eastAsia="Calibri"/>
          <w:sz w:val="28"/>
          <w:szCs w:val="28"/>
          <w:lang w:eastAsia="en-US"/>
        </w:rPr>
        <w:t>с выводами к заведующей</w:t>
      </w:r>
    </w:p>
    <w:p w:rsidR="007B10AF" w:rsidRPr="007B10AF" w:rsidRDefault="00F15E28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Заведующая</w:t>
      </w:r>
      <w:r w:rsidR="007B10AF" w:rsidRPr="007B10AF">
        <w:rPr>
          <w:rFonts w:eastAsia="Calibri"/>
          <w:sz w:val="28"/>
          <w:szCs w:val="28"/>
          <w:lang w:eastAsia="en-US"/>
        </w:rPr>
        <w:t xml:space="preserve">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E0926"/>
    <w:rsid w:val="001975FA"/>
    <w:rsid w:val="00336906"/>
    <w:rsid w:val="007B10AF"/>
    <w:rsid w:val="009E0926"/>
    <w:rsid w:val="00AE16E3"/>
    <w:rsid w:val="00AE20A2"/>
    <w:rsid w:val="00D53A04"/>
    <w:rsid w:val="00F1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5A3B39"/>
  <w15:docId w15:val="{278161A5-DB8F-4C4F-8AF7-5FC0AF87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Пользователь</cp:lastModifiedBy>
  <cp:revision>6</cp:revision>
  <cp:lastPrinted>2017-06-19T03:51:00Z</cp:lastPrinted>
  <dcterms:created xsi:type="dcterms:W3CDTF">2017-06-13T10:47:00Z</dcterms:created>
  <dcterms:modified xsi:type="dcterms:W3CDTF">2018-11-03T09:09:00Z</dcterms:modified>
</cp:coreProperties>
</file>